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附件2：</w:t>
      </w:r>
    </w:p>
    <w:p>
      <w:pPr>
        <w:spacing w:line="42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关于202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级各专业课程设置的实施意见</w:t>
      </w:r>
    </w:p>
    <w:p>
      <w:pPr>
        <w:spacing w:line="420" w:lineRule="exact"/>
        <w:jc w:val="center"/>
        <w:rPr>
          <w:rFonts w:ascii="仿宋" w:hAnsi="仿宋" w:eastAsia="仿宋"/>
          <w:sz w:val="24"/>
          <w:szCs w:val="24"/>
        </w:rPr>
      </w:pP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为贯彻落实《中华人民共和国职业教育法》，</w:t>
      </w:r>
      <w:r>
        <w:rPr>
          <w:rFonts w:ascii="仿宋" w:hAnsi="仿宋" w:eastAsia="仿宋"/>
          <w:sz w:val="28"/>
          <w:szCs w:val="28"/>
        </w:rPr>
        <w:t>坚持中国共产党的领导，坚持社会主义办学方向，贯彻国家的教育方针，坚持立德树人、德技并修，坚持产教融合</w:t>
      </w:r>
      <w:r>
        <w:rPr>
          <w:rFonts w:hint="eastAsia" w:ascii="仿宋" w:hAnsi="仿宋" w:eastAsia="仿宋"/>
          <w:sz w:val="28"/>
          <w:szCs w:val="28"/>
        </w:rPr>
        <w:t>的根本任务，深入推进我校“治人文、精技术”教育教学改革，有效发挥各类课程育人作用，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切实提高人才培养质量，提出如下实施意见。</w:t>
      </w:r>
    </w:p>
    <w:p>
      <w:pPr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一、课程设置的基本要求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专业课程设置要贴近专业、贴近实践、贴近学生。一要减少理论课时量，增加实践课时量，狠抓专业核心技能；二要增加人文课时量，减少专业课时量；三要进一步扩大产教融合，增加校外实习比例；四要开设多种形式的艺术欣赏和体育课程；五要开展思政类、基础类公共必修课程改革，以学生喜闻乐见的教学形式灵活实施教学。</w:t>
      </w:r>
    </w:p>
    <w:p>
      <w:pPr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二、课程体系的基本框架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总教学课时：三年制大专2500学时，五年制高职4000学时。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课程大类比例：综合素质课程约占25%，专业课程约占50%。三年制专科学生顶岗实习一般为6个月，可根据专业实际，集中或分阶段安排；五年制高职学生</w:t>
      </w:r>
      <w:r>
        <w:rPr>
          <w:rFonts w:ascii="仿宋" w:hAnsi="仿宋" w:eastAsia="仿宋"/>
          <w:sz w:val="28"/>
          <w:szCs w:val="28"/>
        </w:rPr>
        <w:t>顶岗实习时间原则上不超过半年（护理等部分特殊专业除外）。</w:t>
      </w:r>
    </w:p>
    <w:p>
      <w:pPr>
        <w:spacing w:line="50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三、公共基础课程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公共基础课程：包括文化课、思政课、体育健康课、信息技术课、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美育课、</w:t>
      </w:r>
      <w:r>
        <w:rPr>
          <w:rFonts w:hint="eastAsia" w:ascii="仿宋" w:hAnsi="仿宋" w:eastAsia="仿宋"/>
          <w:sz w:val="28"/>
          <w:szCs w:val="28"/>
        </w:rPr>
        <w:t>劳动教育课、就业和创业指导课、心理健康教育课、</w:t>
      </w:r>
      <w:r>
        <w:rPr>
          <w:rFonts w:hint="eastAsia" w:ascii="仿宋" w:hAnsi="仿宋" w:eastAsia="仿宋"/>
          <w:color w:val="FF0000"/>
          <w:sz w:val="28"/>
          <w:szCs w:val="28"/>
        </w:rPr>
        <w:t>人文素质和艺术欣赏课、</w:t>
      </w:r>
      <w:r>
        <w:rPr>
          <w:rFonts w:hint="eastAsia" w:ascii="仿宋" w:hAnsi="仿宋" w:eastAsia="仿宋"/>
          <w:sz w:val="28"/>
          <w:szCs w:val="28"/>
        </w:rPr>
        <w:t>素质实践课。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文化课：包括大学语文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中华优秀传统文化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、外语、数学三门课。大学语文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中华优秀传统文化）为必修（</w:t>
      </w:r>
      <w:r>
        <w:rPr>
          <w:rFonts w:hint="eastAsia" w:ascii="仿宋" w:hAnsi="仿宋" w:eastAsia="仿宋"/>
          <w:color w:val="FF0000"/>
          <w:sz w:val="28"/>
          <w:szCs w:val="28"/>
        </w:rPr>
        <w:t>三年制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color w:val="FF0000"/>
          <w:sz w:val="28"/>
          <w:szCs w:val="28"/>
        </w:rPr>
        <w:t>学期、五年制2学期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英语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/>
          <w:sz w:val="28"/>
          <w:szCs w:val="28"/>
        </w:rPr>
        <w:t>必修（三年制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学期、五年制2学期）；数学为选修（三年制可设1学期，五年制高职可设1-2学期必修），主要服务于学生学业提升，分布学期可统筹安排。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思政课、体育健康课：参照国家相关标准，为必修课，课时中必须安排不少于25%的学时为实践课时，实践课时由第二课堂完成。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信息技术课：参照江苏省相关文件精神执行为必修课（三年制1学期、五年制2学期），课程结束以相关国家或省级要求的等级考试成绩为最终课程成绩。</w:t>
      </w:r>
    </w:p>
    <w:p>
      <w:pPr>
        <w:spacing w:line="500" w:lineRule="exact"/>
        <w:ind w:firstLine="560" w:firstLineChars="200"/>
        <w:rPr>
          <w:rFonts w:hint="default" w:ascii="仿宋" w:hAnsi="仿宋" w:eastAsia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美育课：将美学理论学习与审美体验相结合，开展美育实践活动，培养学生认识美、体验美、欣赏美和创造美的能力，引导他们形成美的理想、美的品格和高雅的审美情趣，</w:t>
      </w:r>
      <w:r>
        <w:rPr>
          <w:rFonts w:hint="eastAsia" w:ascii="仿宋" w:hAnsi="仿宋" w:eastAsia="仿宋"/>
          <w:color w:val="FF0000"/>
          <w:sz w:val="28"/>
          <w:szCs w:val="28"/>
        </w:rPr>
        <w:t>作为一门必修课程开设。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劳动教育课：根据各专业的特点和实际，开设适合学生身心发展的劳动实践必修课程。培养锻造学生的劳动品质、弘扬劳动精神、提升职业劳动素养。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就业和创业指导课：结合各专业的特点和实际，开展大学生职业生涯规划、就业教育、就业引导以及创新创业等方面的教育，将就业教育与引导纳入“三全育人”重要内容，作为一门必修课程开设。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心理健康教育课：根据学生生理心理发展规律，运用心理学的教育方法，培养学生良好的心理素质，促进学生整体素质全面提高，作为一门必修课程开设。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艺术欣赏课：以多种形式展示音乐、美术、乐器、书法、舞蹈、影视等艺术门类，主要通过作品赏析，给学生讲授初步的艺术知识，培养学生艺术欣赏能力并提高审美素质，作为一门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选</w:t>
      </w:r>
      <w:r>
        <w:rPr>
          <w:rFonts w:hint="eastAsia" w:ascii="仿宋" w:hAnsi="仿宋" w:eastAsia="仿宋"/>
          <w:color w:val="FF0000"/>
          <w:sz w:val="28"/>
          <w:szCs w:val="28"/>
        </w:rPr>
        <w:t>修课程开设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人文素质课：</w:t>
      </w:r>
      <w:r>
        <w:rPr>
          <w:rFonts w:hint="eastAsia" w:ascii="仿宋" w:hAnsi="仿宋" w:eastAsia="仿宋"/>
          <w:sz w:val="28"/>
          <w:szCs w:val="28"/>
        </w:rPr>
        <w:t>根据学生兴趣和教学资源，建立人文素质课程库与专题讲座，统筹安排学生选修。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素质实践课：创新创业培训与指导，文化艺术体育等社团指导、综合性社会活动等。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总体要求：综合素质类课程中选修课比例不少于50%，实践环节课时占比不少于30%。</w:t>
      </w:r>
    </w:p>
    <w:p>
      <w:pPr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四、专业课程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专业课程包括：专业（群）平台课、专业核心课、专业拓展课、专业实践课、综合性专业实训等。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（一）专业（群）平台课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专业群大类为单位统一设置，打通专业间壁垒，提升学生职业岗位迁移能力。教学组织以合班上课为主要形式。第一学年必须安排不少于2门的专业入门课程，教育引导学生认知了解所学专业的发展趋势及前景，深刻理解并自觉实践行业的职业精神和职业规范，坚定专业认同感，为后续专业课程的学习奠定良好的基础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（二）专业核心课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每专业6-7门课，专业间可重叠，为专业能力和职业岗位能力培养的核心课程。课时数占专业课程总学时约60%，为专业办学质量的重要考核课程，课程调整需向教学主管部门报备。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（三）专业课中选修比例约10-15%，实践教学环节学时占比不小于55%。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（四）鼓励专业课程采取集中阶段性编排，在产教融合的校内外实践基地上课。实践技能课和综合实训课在生产性实训中心、企业生产服务一线上课率不低于70%。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（五）实践环节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推进实施“参观见习、跟岗实习、顶岗实习”三习实践教学。1、参观见习。学习期间有计划组织低年级学生到企业等合作单位参观学习。2、跟岗实习。组织高年级学在合作单位集中学习1-2月。3、顶岗实习。五年制最后一学年、三年制最后一学期，就在企业工作、生活，让学生就业择业，为“安居乐业”做准备。实习可作为综合实践课程进行编排和管理，安排时间可分布于整个培养过程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在校外的实习必须建立完善的教学、师资、保障体系，切实做好交通安全、住宿安排、协议签订、意外保险、指导老师配备等工作环节。</w:t>
      </w:r>
    </w:p>
    <w:p>
      <w:pPr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五、课程管理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1、教务处为统筹协调部门，负责统筹各二级学院、教学部以及相关课程承担部门课程类别、课时总量划分和协调。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课程承担主体大致分工：思政部负责德育、法律、就业指导等课程；体育部负责体育与健康、艺术教育类课程；基础部负责文化课、人文素质类课程；信息管理学院负责信息技术课程；学工处、团委负责军事理论课、心理健康教育以及综合素质实践课程。各二级学院负责人才培养方案编制和专业课、顶岗实习等课程和教学环节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3、融入技能大赛所需课程，突出技能大赛，为学生技术发展提供激励与展示平台。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4、推进“1+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”证书制度。英语、语文、信息技术等课程实施“以证代考、证考结合”试点。加强职业技能证书和执业证书培训，技能证书培训并入实践技能课程课时。</w:t>
      </w:r>
    </w:p>
    <w:p>
      <w:pPr>
        <w:spacing w:line="500" w:lineRule="exact"/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5、落实</w:t>
      </w:r>
      <w:r>
        <w:rPr>
          <w:rFonts w:ascii="仿宋" w:hAnsi="仿宋" w:eastAsia="仿宋"/>
          <w:sz w:val="28"/>
          <w:szCs w:val="28"/>
        </w:rPr>
        <w:t>立德树人根本</w:t>
      </w:r>
      <w:r>
        <w:rPr>
          <w:rFonts w:hint="eastAsia" w:ascii="仿宋" w:hAnsi="仿宋" w:eastAsia="仿宋"/>
          <w:sz w:val="28"/>
          <w:szCs w:val="28"/>
        </w:rPr>
        <w:t>任务，针对性地修订人才培养方案，</w:t>
      </w:r>
      <w:r>
        <w:rPr>
          <w:rFonts w:ascii="仿宋" w:hAnsi="仿宋" w:eastAsia="仿宋"/>
          <w:sz w:val="28"/>
          <w:szCs w:val="28"/>
        </w:rPr>
        <w:t>推动第一课堂（学习的课堂）、第二课堂（实践的</w:t>
      </w:r>
      <w:r>
        <w:rPr>
          <w:rFonts w:hint="eastAsia" w:ascii="仿宋" w:hAnsi="仿宋" w:eastAsia="仿宋"/>
          <w:sz w:val="28"/>
          <w:szCs w:val="28"/>
        </w:rPr>
        <w:t>课堂）、第三课堂（人文的课堂）三个课堂联动育人。第一课堂：开展“三教”改革，推行“模块化教学”。改革考试制度，选择性以实操代替理论考试。相对减少专业基础课，加强专业核心课程。适当减少理论教学，强化实训实操教学。第二课堂：推进实施参观见习、跟岗实习、顶岗实习的“三习”实践教学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在校期间参观见习不少于3次、跟岗实习不少于3个月、顶岗实习不少于6个月。创设数量众多的技能类社团。开展广泛的技能比赛，将技能比赛结果纳入学业成绩。第三课堂：打造“高质量人文选修课、高水平人文讲座、高品位人文活动”三位一体的文化育人模式。广泛开展人文选修课，赋予学生一定的人文选修课学分。建立人文素质课程库。广泛开展“六个一”活动，将活动办出特色和成效。</w:t>
      </w:r>
    </w:p>
    <w:p>
      <w:pPr>
        <w:spacing w:line="470" w:lineRule="exact"/>
        <w:ind w:firstLine="560" w:firstLineChars="200"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4"/>
          <w:szCs w:val="24"/>
        </w:rPr>
        <w:t xml:space="preserve">                                   </w:t>
      </w:r>
      <w:r>
        <w:rPr>
          <w:rFonts w:hint="eastAsia" w:ascii="微软雅黑" w:hAnsi="微软雅黑" w:eastAsia="微软雅黑"/>
          <w:sz w:val="24"/>
          <w:szCs w:val="24"/>
        </w:rPr>
        <w:t xml:space="preserve">  </w:t>
      </w: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021213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kNDRiMDNhMzliOTIxY2RjNTMyOTdhNTdmZGYyZTMifQ=="/>
  </w:docVars>
  <w:rsids>
    <w:rsidRoot w:val="002C7BFA"/>
    <w:rsid w:val="00062367"/>
    <w:rsid w:val="000707E0"/>
    <w:rsid w:val="00077357"/>
    <w:rsid w:val="000A322F"/>
    <w:rsid w:val="000B3F3C"/>
    <w:rsid w:val="000E140A"/>
    <w:rsid w:val="000E2568"/>
    <w:rsid w:val="000E26D5"/>
    <w:rsid w:val="000E5A32"/>
    <w:rsid w:val="001139F5"/>
    <w:rsid w:val="001206A3"/>
    <w:rsid w:val="00132189"/>
    <w:rsid w:val="0016431E"/>
    <w:rsid w:val="00184AC1"/>
    <w:rsid w:val="001851BF"/>
    <w:rsid w:val="001B4463"/>
    <w:rsid w:val="001B5AC9"/>
    <w:rsid w:val="001E0214"/>
    <w:rsid w:val="001E3B92"/>
    <w:rsid w:val="001E7A5C"/>
    <w:rsid w:val="001E7A96"/>
    <w:rsid w:val="001F2D91"/>
    <w:rsid w:val="001F7792"/>
    <w:rsid w:val="00212331"/>
    <w:rsid w:val="00233E91"/>
    <w:rsid w:val="0024446E"/>
    <w:rsid w:val="00270EE7"/>
    <w:rsid w:val="00272F2D"/>
    <w:rsid w:val="0029677B"/>
    <w:rsid w:val="002A4B91"/>
    <w:rsid w:val="002B2938"/>
    <w:rsid w:val="002B38FB"/>
    <w:rsid w:val="002B48C9"/>
    <w:rsid w:val="002C7BFA"/>
    <w:rsid w:val="002E462E"/>
    <w:rsid w:val="003060C5"/>
    <w:rsid w:val="00320D0D"/>
    <w:rsid w:val="00335BE0"/>
    <w:rsid w:val="00346F03"/>
    <w:rsid w:val="00364771"/>
    <w:rsid w:val="00365226"/>
    <w:rsid w:val="00365A25"/>
    <w:rsid w:val="003A4286"/>
    <w:rsid w:val="003A517B"/>
    <w:rsid w:val="003B2A3B"/>
    <w:rsid w:val="003B5880"/>
    <w:rsid w:val="003D051B"/>
    <w:rsid w:val="003E1486"/>
    <w:rsid w:val="003F396E"/>
    <w:rsid w:val="00404942"/>
    <w:rsid w:val="0043678B"/>
    <w:rsid w:val="004367C3"/>
    <w:rsid w:val="00436BC0"/>
    <w:rsid w:val="004517DA"/>
    <w:rsid w:val="0047670A"/>
    <w:rsid w:val="00491FAB"/>
    <w:rsid w:val="004C777F"/>
    <w:rsid w:val="004D482B"/>
    <w:rsid w:val="004D53CC"/>
    <w:rsid w:val="004E0D18"/>
    <w:rsid w:val="004E68BF"/>
    <w:rsid w:val="004F4187"/>
    <w:rsid w:val="0053606B"/>
    <w:rsid w:val="005650C6"/>
    <w:rsid w:val="005857C6"/>
    <w:rsid w:val="00594CCC"/>
    <w:rsid w:val="005B59C4"/>
    <w:rsid w:val="005E5111"/>
    <w:rsid w:val="005E76F4"/>
    <w:rsid w:val="00605654"/>
    <w:rsid w:val="00623D19"/>
    <w:rsid w:val="00625781"/>
    <w:rsid w:val="00632641"/>
    <w:rsid w:val="006442C4"/>
    <w:rsid w:val="00667067"/>
    <w:rsid w:val="00695AB1"/>
    <w:rsid w:val="006A0F53"/>
    <w:rsid w:val="006A4A20"/>
    <w:rsid w:val="006E1A52"/>
    <w:rsid w:val="00703152"/>
    <w:rsid w:val="00704F8E"/>
    <w:rsid w:val="007139E8"/>
    <w:rsid w:val="00725AD4"/>
    <w:rsid w:val="00753E01"/>
    <w:rsid w:val="00764E7C"/>
    <w:rsid w:val="00784FEF"/>
    <w:rsid w:val="007A675F"/>
    <w:rsid w:val="007C712C"/>
    <w:rsid w:val="007E1496"/>
    <w:rsid w:val="007E2A69"/>
    <w:rsid w:val="007F019A"/>
    <w:rsid w:val="00803590"/>
    <w:rsid w:val="0081394C"/>
    <w:rsid w:val="008249A3"/>
    <w:rsid w:val="00835ED7"/>
    <w:rsid w:val="00840470"/>
    <w:rsid w:val="0085016C"/>
    <w:rsid w:val="00864882"/>
    <w:rsid w:val="008A1E19"/>
    <w:rsid w:val="008A2C52"/>
    <w:rsid w:val="008A4391"/>
    <w:rsid w:val="008B4155"/>
    <w:rsid w:val="008C2394"/>
    <w:rsid w:val="008C4143"/>
    <w:rsid w:val="008D19E8"/>
    <w:rsid w:val="008D33BF"/>
    <w:rsid w:val="008E5989"/>
    <w:rsid w:val="00906E97"/>
    <w:rsid w:val="009077CA"/>
    <w:rsid w:val="00911372"/>
    <w:rsid w:val="00913F77"/>
    <w:rsid w:val="009248CC"/>
    <w:rsid w:val="00924962"/>
    <w:rsid w:val="00951772"/>
    <w:rsid w:val="00952002"/>
    <w:rsid w:val="0096527D"/>
    <w:rsid w:val="0097395D"/>
    <w:rsid w:val="009938C4"/>
    <w:rsid w:val="009C1F8E"/>
    <w:rsid w:val="009C5404"/>
    <w:rsid w:val="009F0AE4"/>
    <w:rsid w:val="00A02B6D"/>
    <w:rsid w:val="00A048E2"/>
    <w:rsid w:val="00A45335"/>
    <w:rsid w:val="00A5164E"/>
    <w:rsid w:val="00A65412"/>
    <w:rsid w:val="00A67895"/>
    <w:rsid w:val="00A74582"/>
    <w:rsid w:val="00A83197"/>
    <w:rsid w:val="00A86225"/>
    <w:rsid w:val="00A934A3"/>
    <w:rsid w:val="00AA2078"/>
    <w:rsid w:val="00AA52F3"/>
    <w:rsid w:val="00AB2D4C"/>
    <w:rsid w:val="00AD2191"/>
    <w:rsid w:val="00AF33A2"/>
    <w:rsid w:val="00B063FA"/>
    <w:rsid w:val="00B466D9"/>
    <w:rsid w:val="00B508BA"/>
    <w:rsid w:val="00B733CF"/>
    <w:rsid w:val="00B74838"/>
    <w:rsid w:val="00B83B7D"/>
    <w:rsid w:val="00B95D86"/>
    <w:rsid w:val="00BB4B51"/>
    <w:rsid w:val="00BB6A50"/>
    <w:rsid w:val="00BC0C38"/>
    <w:rsid w:val="00BC398B"/>
    <w:rsid w:val="00BD416C"/>
    <w:rsid w:val="00BD5CDB"/>
    <w:rsid w:val="00BE26FD"/>
    <w:rsid w:val="00BE6838"/>
    <w:rsid w:val="00BF0F67"/>
    <w:rsid w:val="00BF1005"/>
    <w:rsid w:val="00BF64E8"/>
    <w:rsid w:val="00C14EA4"/>
    <w:rsid w:val="00C15AD6"/>
    <w:rsid w:val="00C24D83"/>
    <w:rsid w:val="00C54E9C"/>
    <w:rsid w:val="00C60E7D"/>
    <w:rsid w:val="00C91C88"/>
    <w:rsid w:val="00C95C6D"/>
    <w:rsid w:val="00CC03B1"/>
    <w:rsid w:val="00D051CA"/>
    <w:rsid w:val="00D0595E"/>
    <w:rsid w:val="00D07CB8"/>
    <w:rsid w:val="00D23912"/>
    <w:rsid w:val="00D30DCC"/>
    <w:rsid w:val="00D37111"/>
    <w:rsid w:val="00D43779"/>
    <w:rsid w:val="00D45F52"/>
    <w:rsid w:val="00D50DDF"/>
    <w:rsid w:val="00D665E6"/>
    <w:rsid w:val="00D678A1"/>
    <w:rsid w:val="00D7700F"/>
    <w:rsid w:val="00D776CA"/>
    <w:rsid w:val="00D847EF"/>
    <w:rsid w:val="00D86C5E"/>
    <w:rsid w:val="00DA5DA4"/>
    <w:rsid w:val="00DC4AB2"/>
    <w:rsid w:val="00DE1214"/>
    <w:rsid w:val="00DF392C"/>
    <w:rsid w:val="00DF617E"/>
    <w:rsid w:val="00E02566"/>
    <w:rsid w:val="00E04F93"/>
    <w:rsid w:val="00E10A67"/>
    <w:rsid w:val="00E22AEE"/>
    <w:rsid w:val="00E51D5D"/>
    <w:rsid w:val="00E57EB7"/>
    <w:rsid w:val="00EA225A"/>
    <w:rsid w:val="00EC7452"/>
    <w:rsid w:val="00ED3037"/>
    <w:rsid w:val="00EE2B5B"/>
    <w:rsid w:val="00EE4D94"/>
    <w:rsid w:val="00F12F07"/>
    <w:rsid w:val="00F163E7"/>
    <w:rsid w:val="00F17765"/>
    <w:rsid w:val="00F574FC"/>
    <w:rsid w:val="00F81A34"/>
    <w:rsid w:val="00F96BC6"/>
    <w:rsid w:val="00F97EED"/>
    <w:rsid w:val="00FA684C"/>
    <w:rsid w:val="00FB0B6F"/>
    <w:rsid w:val="00FB7710"/>
    <w:rsid w:val="1B740F32"/>
    <w:rsid w:val="23C076C7"/>
    <w:rsid w:val="37C376E9"/>
    <w:rsid w:val="3BE55B19"/>
    <w:rsid w:val="47F938F4"/>
    <w:rsid w:val="5C67272C"/>
    <w:rsid w:val="5D9501AF"/>
    <w:rsid w:val="7585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2590</Words>
  <Characters>2628</Characters>
  <Lines>18</Lines>
  <Paragraphs>5</Paragraphs>
  <TotalTime>1</TotalTime>
  <ScaleCrop>false</ScaleCrop>
  <LinksUpToDate>false</LinksUpToDate>
  <CharactersWithSpaces>2675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2019-07-29T01:34:00Z</dcterms:created>
  <dc:creator>Microwin10</dc:creator>
  <cp:lastModifiedBy>wb</cp:lastModifiedBy>
  <cp:lastPrinted>2023-05-10T05:03:00Z</cp:lastPrinted>
  <dcterms:modified xsi:type="dcterms:W3CDTF">2024-03-08T00:30:11Z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AFBB101521BB45BFA75A6780B0B93707_12</vt:lpwstr>
  </property>
</Properties>
</file>